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Science for the People - New Haven Political Education Series</w:t>
      </w:r>
    </w:p>
    <w:p w:rsidR="00000000" w:rsidDel="00000000" w:rsidP="00000000" w:rsidRDefault="00000000" w:rsidRPr="00000000" w14:paraId="00000002">
      <w:pP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The Social Production of Science</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Module five: </w:t>
      </w:r>
      <w:r w:rsidDel="00000000" w:rsidR="00000000" w:rsidRPr="00000000">
        <w:rPr>
          <w:rFonts w:ascii="Times New Roman" w:cs="Times New Roman" w:eastAsia="Times New Roman" w:hAnsi="Times New Roman"/>
          <w:sz w:val="24"/>
          <w:szCs w:val="24"/>
          <w:rtl w:val="0"/>
        </w:rPr>
        <w:t xml:space="preserve">The Circulation of Science </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Date: February 5th, 2025</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Community Guidelines:</w:t>
      </w:r>
    </w:p>
    <w:p w:rsidR="00000000" w:rsidDel="00000000" w:rsidP="00000000" w:rsidRDefault="00000000" w:rsidRPr="00000000" w14:paraId="00000007">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One speaker at a time</w:t>
      </w:r>
    </w:p>
    <w:p w:rsidR="00000000" w:rsidDel="00000000" w:rsidP="00000000" w:rsidRDefault="00000000" w:rsidRPr="00000000" w14:paraId="00000008">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Step up, step back</w:t>
      </w:r>
    </w:p>
    <w:p w:rsidR="00000000" w:rsidDel="00000000" w:rsidP="00000000" w:rsidRDefault="00000000" w:rsidRPr="00000000" w14:paraId="00000009">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Listen to and learn from your comrades</w:t>
      </w:r>
    </w:p>
    <w:p w:rsidR="00000000" w:rsidDel="00000000" w:rsidP="00000000" w:rsidRDefault="00000000" w:rsidRPr="00000000" w14:paraId="0000000A">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Embrace comradely criticism</w:t>
      </w:r>
    </w:p>
    <w:p w:rsidR="00000000" w:rsidDel="00000000" w:rsidP="00000000" w:rsidRDefault="00000000" w:rsidRPr="00000000" w14:paraId="0000000B">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Be willing to learn through error</w:t>
      </w:r>
    </w:p>
    <w:p w:rsidR="00000000" w:rsidDel="00000000" w:rsidP="00000000" w:rsidRDefault="00000000" w:rsidRPr="00000000" w14:paraId="0000000C">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Don’t hesitate to ask for clarification</w:t>
      </w:r>
    </w:p>
    <w:p w:rsidR="00000000" w:rsidDel="00000000" w:rsidP="00000000" w:rsidRDefault="00000000" w:rsidRPr="00000000" w14:paraId="0000000D">
      <w:pPr>
        <w:numPr>
          <w:ilvl w:val="0"/>
          <w:numId w:val="3"/>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No right answers, no trick questions</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Introduction</w:t>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10">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discussions last year centered around the production and impact of </w:t>
      </w:r>
      <w:r w:rsidDel="00000000" w:rsidR="00000000" w:rsidRPr="00000000">
        <w:rPr>
          <w:rFonts w:ascii="Times New Roman" w:cs="Times New Roman" w:eastAsia="Times New Roman" w:hAnsi="Times New Roman"/>
          <w:sz w:val="24"/>
          <w:szCs w:val="24"/>
          <w:rtl w:val="0"/>
        </w:rPr>
        <w:t xml:space="preserve">scientific</w:t>
      </w:r>
      <w:r w:rsidDel="00000000" w:rsidR="00000000" w:rsidRPr="00000000">
        <w:rPr>
          <w:rFonts w:ascii="Times New Roman" w:cs="Times New Roman" w:eastAsia="Times New Roman" w:hAnsi="Times New Roman"/>
          <w:sz w:val="24"/>
          <w:szCs w:val="24"/>
          <w:rtl w:val="0"/>
        </w:rPr>
        <w:t xml:space="preserve"> knowledge. What are the types of labor done by scientists? What are the types of labor that produce knowledge about the natural world? How do these labors change? How do the questions that we ask change? In this class, we hope to open a space to think about science beyond “knowledge production.” Laboring to understand or explore some object is a portion of the social production of science; another portion concerns the communication or circulation of this knowledge. In this brief introduction, I will talk about a few important modes of circulating knowledge: the scientific journal, the scientific conference, classrooms, and scientific societies. </w:t>
      </w:r>
    </w:p>
    <w:p w:rsidR="00000000" w:rsidDel="00000000" w:rsidP="00000000" w:rsidRDefault="00000000" w:rsidRPr="00000000" w14:paraId="00000011">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Knowledge is a slippery term and can cause a lot of confusion when speaking about science. So, let me give a few potential definitions that can assist in our conversation today. </w:t>
      </w:r>
    </w:p>
    <w:p w:rsidR="00000000" w:rsidDel="00000000" w:rsidP="00000000" w:rsidRDefault="00000000" w:rsidRPr="00000000" w14:paraId="00000012">
      <w:pPr>
        <w:numPr>
          <w:ilvl w:val="0"/>
          <w:numId w:val="2"/>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Knowledge as </w:t>
      </w:r>
      <w:r w:rsidDel="00000000" w:rsidR="00000000" w:rsidRPr="00000000">
        <w:rPr>
          <w:rFonts w:ascii="Times New Roman" w:cs="Times New Roman" w:eastAsia="Times New Roman" w:hAnsi="Times New Roman"/>
          <w:b w:val="1"/>
          <w:bCs w:val="1"/>
          <w:sz w:val="24"/>
          <w:szCs w:val="24"/>
          <w:rtl w:val="0"/>
        </w:rPr>
        <w:t xml:space="preserve">practice</w:t>
      </w:r>
      <w:r w:rsidDel="00000000" w:rsidR="00000000" w:rsidRPr="00000000">
        <w:rPr>
          <w:rFonts w:ascii="Times New Roman" w:cs="Times New Roman" w:eastAsia="Times New Roman" w:hAnsi="Times New Roman"/>
          <w:sz w:val="24"/>
          <w:szCs w:val="24"/>
          <w:rtl w:val="0"/>
        </w:rPr>
        <w:t xml:space="preserve">: This concerns the forms of labor that are deemed important to produce knowledge. Majority of our conversations last year centered on this definition. </w:t>
      </w:r>
    </w:p>
    <w:p w:rsidR="00000000" w:rsidDel="00000000" w:rsidP="00000000" w:rsidRDefault="00000000" w:rsidRPr="00000000" w14:paraId="00000013">
      <w:pPr>
        <w:numPr>
          <w:ilvl w:val="0"/>
          <w:numId w:val="2"/>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Knowledge as </w:t>
      </w:r>
      <w:r w:rsidDel="00000000" w:rsidR="00000000" w:rsidRPr="00000000">
        <w:rPr>
          <w:rFonts w:ascii="Times New Roman" w:cs="Times New Roman" w:eastAsia="Times New Roman" w:hAnsi="Times New Roman"/>
          <w:b w:val="1"/>
          <w:bCs w:val="1"/>
          <w:sz w:val="24"/>
          <w:szCs w:val="24"/>
          <w:rtl w:val="0"/>
        </w:rPr>
        <w:t xml:space="preserve">knower</w:t>
      </w:r>
      <w:r w:rsidDel="00000000" w:rsidR="00000000" w:rsidRPr="00000000">
        <w:rPr>
          <w:rFonts w:ascii="Times New Roman" w:cs="Times New Roman" w:eastAsia="Times New Roman" w:hAnsi="Times New Roman"/>
          <w:sz w:val="24"/>
          <w:szCs w:val="24"/>
          <w:rtl w:val="0"/>
        </w:rPr>
        <w:t xml:space="preserve">: Knowledge is not in some cloud, but there are people that are considered to have knowledge </w:t>
      </w:r>
    </w:p>
    <w:p w:rsidR="00000000" w:rsidDel="00000000" w:rsidP="00000000" w:rsidRDefault="00000000" w:rsidRPr="00000000" w14:paraId="00000014">
      <w:pPr>
        <w:numPr>
          <w:ilvl w:val="0"/>
          <w:numId w:val="2"/>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Knowledge as </w:t>
      </w:r>
      <w:r w:rsidDel="00000000" w:rsidR="00000000" w:rsidRPr="00000000">
        <w:rPr>
          <w:rFonts w:ascii="Times New Roman" w:cs="Times New Roman" w:eastAsia="Times New Roman" w:hAnsi="Times New Roman"/>
          <w:b w:val="1"/>
          <w:bCs w:val="1"/>
          <w:sz w:val="24"/>
          <w:szCs w:val="24"/>
          <w:rtl w:val="0"/>
        </w:rPr>
        <w:t xml:space="preserve">material</w:t>
      </w:r>
      <w:r w:rsidDel="00000000" w:rsidR="00000000" w:rsidRPr="00000000">
        <w:rPr>
          <w:rFonts w:ascii="Times New Roman" w:cs="Times New Roman" w:eastAsia="Times New Roman" w:hAnsi="Times New Roman"/>
          <w:sz w:val="24"/>
          <w:szCs w:val="24"/>
          <w:rtl w:val="0"/>
        </w:rPr>
        <w:t xml:space="preserve">: Knowers usually produce things (maybe commodities?) like articles, books, videos, and whatever else to communicate. </w:t>
      </w:r>
    </w:p>
    <w:p w:rsidR="00000000" w:rsidDel="00000000" w:rsidP="00000000" w:rsidRDefault="00000000" w:rsidRPr="00000000" w14:paraId="00000015">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we all know, knowledge is typically produced by people laboring in some capacity; likewise, the circulation of knowledge requires laboring by people. From the writing of journal articles to attending conferences to just having conversation over coffee to practicing a method with a friend, there are a host of activities that circulate knowledge. </w:t>
      </w:r>
    </w:p>
    <w:p w:rsidR="00000000" w:rsidDel="00000000" w:rsidP="00000000" w:rsidRDefault="00000000" w:rsidRPr="00000000" w14:paraId="00000016">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discussion will extend the idea that science is a labor process that is shaped by various personal, political, and economic relationships. Both the knowers of science and the content of science are, too, shaped by various  personal, political, and economic relationships. It is nearly impossible to separate the knowers from the content as those real people often produce the content. So a new set of questions are developing for the social production of science: (1) Where does scientific knowledge circulate? (2) How does it get represented? (3) How does money and resources move with the circulation of knowledge? (4) How does the circulation of knowledge relate to the labor process of science? </w:t>
      </w:r>
    </w:p>
    <w:p w:rsidR="00000000" w:rsidDel="00000000" w:rsidP="00000000" w:rsidRDefault="00000000" w:rsidRPr="00000000" w14:paraId="00000017">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and foremost,</w:t>
      </w:r>
      <w:r w:rsidDel="00000000" w:rsidR="00000000" w:rsidRPr="00000000">
        <w:rPr>
          <w:rFonts w:ascii="Times New Roman" w:cs="Times New Roman" w:eastAsia="Times New Roman" w:hAnsi="Times New Roman"/>
          <w:b w:val="1"/>
          <w:bCs w:val="1"/>
          <w:sz w:val="24"/>
          <w:szCs w:val="24"/>
          <w:rtl w:val="0"/>
        </w:rPr>
        <w:t xml:space="preserve"> the scientific journal</w:t>
      </w:r>
      <w:r w:rsidDel="00000000" w:rsidR="00000000" w:rsidRPr="00000000">
        <w:rPr>
          <w:rFonts w:ascii="Times New Roman" w:cs="Times New Roman" w:eastAsia="Times New Roman" w:hAnsi="Times New Roman"/>
          <w:sz w:val="24"/>
          <w:szCs w:val="24"/>
          <w:rtl w:val="0"/>
        </w:rPr>
        <w:t xml:space="preserve"> is a space where knowledge is circulated. These journals each have history and shifting practices about what is acceptable and what is unacceptable for publication, some of which we will discuss. I will just mention that these journals do not just circulate “knowledge about science” but also knowledge about what it means to be a scientist and who can be a scientist. Let’s take an example from our history, in February 1971, Science for the People submitted an article to </w:t>
      </w:r>
      <w:r w:rsidDel="00000000" w:rsidR="00000000" w:rsidRPr="00000000">
        <w:rPr>
          <w:rFonts w:ascii="Times New Roman" w:cs="Times New Roman" w:eastAsia="Times New Roman" w:hAnsi="Times New Roman"/>
          <w:i w:val="1"/>
          <w:iCs w:val="1"/>
          <w:sz w:val="24"/>
          <w:szCs w:val="24"/>
          <w:rtl w:val="0"/>
        </w:rPr>
        <w:t xml:space="preserve">Science </w:t>
      </w:r>
      <w:r w:rsidDel="00000000" w:rsidR="00000000" w:rsidRPr="00000000">
        <w:rPr>
          <w:rFonts w:ascii="Times New Roman" w:cs="Times New Roman" w:eastAsia="Times New Roman" w:hAnsi="Times New Roman"/>
          <w:sz w:val="24"/>
          <w:szCs w:val="24"/>
          <w:rtl w:val="0"/>
        </w:rPr>
        <w:t xml:space="preserve">addressing the political and economic ramification of science in North America. The article was rejected and the editors of </w:t>
      </w:r>
      <w:r w:rsidDel="00000000" w:rsidR="00000000" w:rsidRPr="00000000">
        <w:rPr>
          <w:rFonts w:ascii="Times New Roman" w:cs="Times New Roman" w:eastAsia="Times New Roman" w:hAnsi="Times New Roman"/>
          <w:i w:val="1"/>
          <w:iCs w:val="1"/>
          <w:sz w:val="24"/>
          <w:szCs w:val="24"/>
          <w:rtl w:val="0"/>
        </w:rPr>
        <w:t xml:space="preserve">Science </w:t>
      </w:r>
      <w:r w:rsidDel="00000000" w:rsidR="00000000" w:rsidRPr="00000000">
        <w:rPr>
          <w:rFonts w:ascii="Times New Roman" w:cs="Times New Roman" w:eastAsia="Times New Roman" w:hAnsi="Times New Roman"/>
          <w:sz w:val="24"/>
          <w:szCs w:val="24"/>
          <w:rtl w:val="0"/>
        </w:rPr>
        <w:t xml:space="preserve">referred to the scientists as “potentially insane.” To give you a sense of the article, it starts: </w:t>
      </w:r>
    </w:p>
    <w:p w:rsidR="00000000" w:rsidDel="00000000" w:rsidP="00000000" w:rsidRDefault="00000000" w:rsidRPr="00000000" w14:paraId="00000018">
      <w:pPr>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“If scientists want to help prevent socially destructive applications of science, they must forgo acting in an ad hoc or purely moralistic fashion, and begin to respond collectively from the vantage point of a political and economic analysis of their work. This analysis must be firmly anchored in an understanding of the American corporate state”</w:t>
      </w:r>
    </w:p>
    <w:p w:rsidR="00000000" w:rsidDel="00000000" w:rsidP="00000000" w:rsidRDefault="00000000" w:rsidRPr="00000000" w14:paraId="0000001A">
      <w:pPr>
        <w:ind w:firstLine="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B">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unacceptable to discuss this in a scientific journal, not because </w:t>
      </w:r>
      <w:r w:rsidDel="00000000" w:rsidR="00000000" w:rsidRPr="00000000">
        <w:rPr>
          <w:rFonts w:ascii="Times New Roman" w:cs="Times New Roman" w:eastAsia="Times New Roman" w:hAnsi="Times New Roman"/>
          <w:i w:val="1"/>
          <w:iCs w:val="1"/>
          <w:sz w:val="24"/>
          <w:szCs w:val="24"/>
          <w:rtl w:val="0"/>
        </w:rPr>
        <w:t xml:space="preserve">Science </w:t>
      </w:r>
      <w:r w:rsidDel="00000000" w:rsidR="00000000" w:rsidRPr="00000000">
        <w:rPr>
          <w:rFonts w:ascii="Times New Roman" w:cs="Times New Roman" w:eastAsia="Times New Roman" w:hAnsi="Times New Roman"/>
          <w:sz w:val="24"/>
          <w:szCs w:val="24"/>
          <w:rtl w:val="0"/>
        </w:rPr>
        <w:t xml:space="preserve">does not talk about politics on its pages…just not this politics. The politics of the so-called “insane” was unacceptable. Major and even minor scientific journals provide an infrastructure to communicate different ideas, practices, and norms in sciences. This infrastructure exists in relation to broader economic and political realities that values certain questions, answers, and practices. </w:t>
      </w:r>
      <w:r w:rsidDel="00000000" w:rsidR="00000000" w:rsidRPr="00000000">
        <w:rPr>
          <w:rFonts w:ascii="Times New Roman" w:cs="Times New Roman" w:eastAsia="Times New Roman" w:hAnsi="Times New Roman"/>
          <w:sz w:val="24"/>
          <w:szCs w:val="24"/>
          <w:rtl w:val="0"/>
        </w:rPr>
        <w:t xml:space="preserve">Privately owned and corporation-backed, many journals have interests to maintain science in a particular way. A science that provides knowledge for projects developed by and for capitalists and the state. In addition, these journals expect a certain style of writing, payment, and political stance. </w:t>
      </w:r>
      <w:r w:rsidDel="00000000" w:rsidR="00000000" w:rsidRPr="00000000">
        <w:rPr>
          <w:rtl w:val="0"/>
        </w:rPr>
      </w:r>
    </w:p>
    <w:p w:rsidR="00000000" w:rsidDel="00000000" w:rsidP="00000000" w:rsidRDefault="00000000" w:rsidRPr="00000000" w14:paraId="0000001C">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Conferences are next in line to understand the circulation of knowledge and of knowers. Unlike the Journals which merely articulate norms, here the norms of science science communication are practiced. From small conferences to massive ones, these are sites where people come together to discuss theories, methods, and results. Like the intimate labor of thinking and writing needed to produce a journal article, we can start to think about conferences from the actual practices that occur in the conference. Before doing that, I want us to think about conferences as major sites enmeshed within political and economic dynamics. From the exploitative labor required to host a conference to the funders of the conference, there are many ways to understand and intervene in the ways conferences operate today. Conferences are places where knowledge circulates, and questions are generated by and for certain people…usually people that can provide grants and funding. </w:t>
      </w:r>
    </w:p>
    <w:p w:rsidR="00000000" w:rsidDel="00000000" w:rsidP="00000000" w:rsidRDefault="00000000" w:rsidRPr="00000000" w14:paraId="0000001D">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Science for the People has a long history of disrupting conferences. Throughout the 1970s, members picketed, staged demonstrations, interrupted speakers, and gave impromptu speeches about sexism, capitalism, imperialism, and racism during various conferences. Establishment science was not merely complicit in injustice, it was actively producing and reproducing it. Conferences were seen as sites to disrupt the easy circulation of science—which was produced, reproduced, and shaped by various ills. </w:t>
      </w:r>
    </w:p>
    <w:p w:rsidR="00000000" w:rsidDel="00000000" w:rsidP="00000000" w:rsidRDefault="00000000" w:rsidRPr="00000000" w14:paraId="0000001E">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two other locations that are extremely important in the circulation of knowledge: the classroom/lecture hall (with textbooks, YouTube videos, and whatever else) and the scientific societies (like the American Physical Society). Like all the other sites where knowledge circulates, these are also places where people learn what it means to be a knower of science, what types of questions are worth pursuing, what is morally righteous, and of course, what not to talk about. To finish this introduction up, I will just say that SftP developed because of the resistance to any discussion of politics in the American Physical Society and members of SftP have made it their mission to critically reflect and develop radical pedagogy in the classroom. </w:t>
      </w:r>
    </w:p>
    <w:p w:rsidR="00000000" w:rsidDel="00000000" w:rsidP="00000000" w:rsidRDefault="00000000" w:rsidRPr="00000000" w14:paraId="0000001F">
      <w:pPr>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Much of the class thus far has concerned the production of knowledge and the way scientific labor is shaped by capital in a variety of ways. This, in part, is because the organization of labor and knowledge was and continues to still be the most difficult area to theorize and agitate for a science for (and by) the people. There is a rich history of activism and theorization of the circulation of knowledge and its relationship to radical science and today we will grow upon this! </w:t>
      </w:r>
    </w:p>
    <w:p w:rsidR="00000000" w:rsidDel="00000000" w:rsidP="00000000" w:rsidRDefault="00000000" w:rsidRPr="00000000" w14:paraId="00000020">
      <w:pPr>
        <w:ind w:firstLine="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Part 1: </w:t>
      </w:r>
      <w:hyperlink r:id="rId6">
        <w:r w:rsidDel="00000000" w:rsidR="00000000" w:rsidRPr="00000000">
          <w:rPr>
            <w:rFonts w:ascii="Times New Roman" w:cs="Times New Roman" w:eastAsia="Times New Roman" w:hAnsi="Times New Roman"/>
            <w:b w:val="1"/>
            <w:bCs w:val="1"/>
            <w:i w:val="1"/>
            <w:iCs w:val="1"/>
            <w:color w:val="1155cc"/>
            <w:sz w:val="24"/>
            <w:szCs w:val="24"/>
            <w:u w:val="single"/>
            <w:rtl w:val="0"/>
          </w:rPr>
          <w:t xml:space="preserve">“Scientific Autonomy, Public Accountability, and the Rise of “Peer Review” in the Cold War United States</w:t>
        </w:r>
      </w:hyperlink>
      <w:r w:rsidDel="00000000" w:rsidR="00000000" w:rsidRPr="00000000">
        <w:rPr>
          <w:rFonts w:ascii="Times New Roman" w:cs="Times New Roman" w:eastAsia="Times New Roman" w:hAnsi="Times New Roman"/>
          <w:b w:val="1"/>
          <w:bCs w:val="1"/>
          <w:i w:val="1"/>
          <w:iCs w:val="1"/>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by Melinda Baldwin</w:t>
      </w:r>
    </w:p>
    <w:p w:rsidR="00000000" w:rsidDel="00000000" w:rsidP="00000000" w:rsidRDefault="00000000" w:rsidRPr="00000000" w14:paraId="0000002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Summary excerpts:</w:t>
      </w:r>
    </w:p>
    <w:p w:rsidR="00000000" w:rsidDel="00000000" w:rsidP="00000000" w:rsidRDefault="00000000" w:rsidRPr="00000000" w14:paraId="00000026">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vision of peer review as a process central to science can be traced to the Cold War United States, where various stakeholders sought to navigate a growing tension between desires for scientific autonomy and public accountability in controversies over government science funding.“</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massive expansion of government funding for scientific research in the postwar United States led to more scrutiny of science—and to suggestions that scientists should be more accountable to the public. Scientists balked at the suggestion that their methods or conclusions might be vetted by scientific laymen but did not want to surrender the public status of funding opportunities they had gained. A controversy over peer review procedures at the National Science Foundation (NSF) in the 1970s highlighted the conflict between scientists’ desire to keep scientific decisions in expert hands and the belief that public funds made scientists answerable to laymen and legislators. At a hearing about the NSF’s review procedures, various stakeholders argued that peer review was the only acceptable method of selecting which proposals to fund, and the outcome of the controversy placed increased emphasis on referee opinions at the NSF. The episode both reflected and helped cement the view that peer review was central to the proper practice of science.”</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Further excerpts: </w:t>
      </w:r>
    </w:p>
    <w:p w:rsidR="00000000" w:rsidDel="00000000" w:rsidP="00000000" w:rsidRDefault="00000000" w:rsidRPr="00000000" w14:paraId="0000002F">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“Far from springing fully grown from the Scientific Revolution, refereeing developed in the nineteenth century and spread slowly and haphazardly, encountering much skepticism and criticism along the way. While some scientific societies had procedures for orally vetting submissions to their journals as early as the eighteenth century, written reports by specialists in a paper’s field did not enter the picture until 1831, when William Whewell proposed that two Fellows of the Royal Society should write down their views on submissions to the </w:t>
      </w:r>
      <w:r w:rsidDel="00000000" w:rsidR="00000000" w:rsidRPr="00000000">
        <w:rPr>
          <w:rFonts w:ascii="Times New Roman" w:cs="Times New Roman" w:eastAsia="Times New Roman" w:hAnsi="Times New Roman"/>
          <w:i w:val="1"/>
          <w:iCs w:val="1"/>
          <w:sz w:val="24"/>
          <w:szCs w:val="24"/>
          <w:rtl w:val="0"/>
        </w:rPr>
        <w:t xml:space="preserve">Philosophical Transactions</w:t>
      </w:r>
      <w:r w:rsidDel="00000000" w:rsidR="00000000" w:rsidRPr="00000000">
        <w:rPr>
          <w:rFonts w:ascii="Times New Roman" w:cs="Times New Roman" w:eastAsia="Times New Roman" w:hAnsi="Times New Roman"/>
          <w:sz w:val="24"/>
          <w:szCs w:val="24"/>
          <w:rtl w:val="0"/>
        </w:rPr>
        <w:t xml:space="preserve"> and have their comments published in the new journal </w:t>
      </w:r>
      <w:r w:rsidDel="00000000" w:rsidR="00000000" w:rsidRPr="00000000">
        <w:rPr>
          <w:rFonts w:ascii="Times New Roman" w:cs="Times New Roman" w:eastAsia="Times New Roman" w:hAnsi="Times New Roman"/>
          <w:i w:val="1"/>
          <w:iCs w:val="1"/>
          <w:sz w:val="24"/>
          <w:szCs w:val="24"/>
          <w:rtl w:val="0"/>
        </w:rPr>
        <w:t xml:space="preserve">Proceedings of the Royal Society of London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“Commercial scientific journals such as the </w:t>
      </w:r>
      <w:r w:rsidDel="00000000" w:rsidR="00000000" w:rsidRPr="00000000">
        <w:rPr>
          <w:rFonts w:ascii="Times New Roman" w:cs="Times New Roman" w:eastAsia="Times New Roman" w:hAnsi="Times New Roman"/>
          <w:i w:val="1"/>
          <w:iCs w:val="1"/>
          <w:sz w:val="24"/>
          <w:szCs w:val="24"/>
          <w:rtl w:val="0"/>
        </w:rPr>
        <w:t xml:space="preserve">Philosophical Magazine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iCs w:val="1"/>
          <w:sz w:val="24"/>
          <w:szCs w:val="24"/>
          <w:rtl w:val="0"/>
        </w:rPr>
        <w:t xml:space="preserve">Nature</w:t>
      </w:r>
      <w:r w:rsidDel="00000000" w:rsidR="00000000" w:rsidRPr="00000000">
        <w:rPr>
          <w:rFonts w:ascii="Times New Roman" w:cs="Times New Roman" w:eastAsia="Times New Roman" w:hAnsi="Times New Roman"/>
          <w:sz w:val="24"/>
          <w:szCs w:val="24"/>
          <w:rtl w:val="0"/>
        </w:rPr>
        <w:t xml:space="preserve"> largely kept</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editorial decisions in-house until the mid-twentieth century. Many of these commercial journals were the personal projects of dynamic editors who felt qualified to evaluate any contributions that might come their way. Unlike the publications of scientific societies, which were published whenever the society had enough material to print an issue, commercial journals had to meet monthly or weekly deadlines and often could not afford to reject too many contributions—or wait for external referees to submit reports.”</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“Many journals that adopted refereeing in the mid-twentieth century did so not because of epistemic concerns but to lighten the editorial workload. At the American weekly </w:t>
      </w:r>
      <w:r w:rsidDel="00000000" w:rsidR="00000000" w:rsidRPr="00000000">
        <w:rPr>
          <w:rFonts w:ascii="Times New Roman" w:cs="Times New Roman" w:eastAsia="Times New Roman" w:hAnsi="Times New Roman"/>
          <w:i w:val="1"/>
          <w:iCs w:val="1"/>
          <w:sz w:val="24"/>
          <w:szCs w:val="24"/>
          <w:rtl w:val="0"/>
        </w:rPr>
        <w:t xml:space="preserve">Science</w:t>
      </w:r>
      <w:r w:rsidDel="00000000" w:rsidR="00000000" w:rsidRPr="00000000">
        <w:rPr>
          <w:rFonts w:ascii="Times New Roman" w:cs="Times New Roman" w:eastAsia="Times New Roman" w:hAnsi="Times New Roman"/>
          <w:sz w:val="24"/>
          <w:szCs w:val="24"/>
          <w:rtl w:val="0"/>
        </w:rPr>
        <w:t xml:space="preserve">, for instance, the editorial board performed almost all refereeing in-house for the first half of the twentieth century. The journal began relying more heavily on external referees in the 1950s after members of the editorial board complained that “the job of refereeing and suggesting revisions for hundreds of technical papers is neither the best use of their time nor pleasant, satisfying work.”</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U.S. government formed the National Institutes of Health (NIH) in 1948,</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Division of Research Grants initially evaluated grant applications with little or no consultation</w:t>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outside referees. Instead, each application went first to a small “study section” composed of</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NIH-affiliated scientific experts in a particular field. From there, the study sections’ recommendations were forwarded to an NIH council of scientists and laymen, which added its own recommendations. Final decision-making power rested in the hands of the institute directors, heads of NIH member institutions such as the National Cancer Institute and the National Eye Institute. While the directors took the earlier evaluations into account, they were not obligated to follow the recommendations of the study sections or the council. Furthermore, NIH applicants would receive little information about why their grants had been accepted or rejected. Deliberations about the grants were considered confidential and internal to the NIH.”</w:t>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1970s proved to be an even more tenuous time for American governmental science funding. The Cold War entered its period of détente, and tensions between the United States and the USSR temporarily abated. This blunted one of the most persuasive arguments in favor of increased science funding. Furthermore, as the Vietnam War became more and more controversial, ties between scientists and the military came under scrutiny. Antiwar activists on many college campuses protested departments and research institutes that held large military contracts and in some cases persuaded universities to cut formal ties with research institutes that specialized in military work. An increasing number of scientists also expressed concerns over the power of the “military-academic-industrial” complex; a group called “Science for the People” disrupted several meetings of the American Association for the Advancement of Science (AAAS) meetings in the early 1970s, shouting down speakers with military ties (such as Glenn Seaborg, president-elect of the AAAS and the discoverer of plutonium) and decrying the political overtones of certain new scientific theories, most notably sociobiology.”</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public debate and behind-the-scenes arguments over the NSF’s funding decisions led to</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National Science Foundation Peer Review Special Oversight Hearings, held before the Subcommittee on Science, Research, and Technology in July 1975.” [...] “The discussion of the NSF’s review process focused on two key points: first, what criteria should be used to choose which NSF proposals to fund, and, second, how much weight should be given to the referees’ opinions about a proposal.”</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“[Arizona Republican Congressman John] Conlan’s criticisms of the NSF [...] did not lead him to criticize the concept of peer review in general. Instead, he argued that the NSF’s review system was designed to allow the directors, rather than the reviewers, to make decisions about the quality of a proposal. Because no one outside the NSF was allowed to see the reports, said Conlan, neither scientists nor Congressmen could verify that NSF staff members were listening to the referees. Conlan claimed that NSF program managers occasionally went so far as to misrepresent their referees’ comments.” [...] “Conlan thus proposed that he and his fellow Congressional critics were acting in defense of proper peer review.”</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way to choose proposals based on scientific excellence, [NSF Director H. Guyford] Stever and [Deputy Director Richard] Atkinson argued, was through a peer review process—by placing proposals in the hands of those who were best qualified to know what scientific excellence looked like. The foundation consulted with “members of the scientific community who are expert in the specialty or discipline involved before making a recommendation to support or to decline a specific proposal,” Stever explained. “The persons consulted are expected to be the scientific peers of those proposing to do the research; thus the growth of the term ‘peer review.’” Stever repeatedly insisted that these peers could give candid advice only if their identities were kept confidential; otherwise, reviewers might fear professional reprisal if they did not recommend particular proposals, especially those by senior colleagues in their field.” [...] “The NSF’s critics and defenders disagreed about whether the NSF itself had done a good</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job with its refereeing procedures, but in many ways the claims they made about peer review</w:t>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itself were remarkably similar.”</w:t>
      </w:r>
    </w:p>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 limitations of peer review received little discussion during the testimony of the NSF officials. Almost all of the actors at the 1975 hearings agreed that peer review was the appropriate mechanism for evaluating grants. Peer review, according to those at the hearings, was “a fair and effective system,” “an indispensable component of the decision making process for allocating funds,” and “an integral feature of ‘the scientific method.’”” </w:t>
      </w:r>
    </w:p>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belief that peer review was “fundamentally sound” strongly shaped the NSF’s reactions</w:t>
      </w:r>
    </w:p>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the criticisms. Most significantly, Stever announced at the hearings that as of 1 January 1976</w:t>
      </w:r>
    </w:p>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applicants would receive complete, verbatim copies of their referee reports with the reviewers’</w:t>
      </w:r>
    </w:p>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names redacted.” [...] “Stever and Atkinson also indicated that in the future the NSF would lean more heavily on peer review, and less heavily on the judgment of NSF staff, when deciding which grants to fund.” [...] “...the NIH gradually gave external reviewers a more central role in deciding which grant proposals should be funded. Like the NSF, the NIH also began providing more detailed comments about proposals to NIH applicants.” [...] “Notably, both the NSF’s and the NIH’s reforms placed more emphasis on the opinions of external referees.”</w:t>
      </w:r>
    </w:p>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Discussion Questions:</w:t>
      </w:r>
    </w:p>
    <w:p w:rsidR="00000000" w:rsidDel="00000000" w:rsidP="00000000" w:rsidRDefault="00000000" w:rsidRPr="00000000" w14:paraId="0000004F">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0">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How have you interacted with peer review, either in a professional or personal capacity? Do you think that it was represented fairly by the various parties to the 1975 NSF Oversight hearing? Do you think peer review helps ensure that public monies invested in scientific research are well spent? (What does it mean for them to be “well spent?”)</w:t>
      </w:r>
    </w:p>
    <w:p w:rsidR="00000000" w:rsidDel="00000000" w:rsidP="00000000" w:rsidRDefault="00000000" w:rsidRPr="00000000" w14:paraId="00000051">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Considering the central role of peer review in the circulation of scientific knowledge and research products today - in journals, grants, and so on - how do you think it governs the general shape of this process? In other words, what do you think are the possibilities and limitations imposed on scientific circulation </w:t>
      </w:r>
      <w:r w:rsidDel="00000000" w:rsidR="00000000" w:rsidRPr="00000000">
        <w:rPr>
          <w:rFonts w:ascii="Times New Roman" w:cs="Times New Roman" w:eastAsia="Times New Roman" w:hAnsi="Times New Roman"/>
          <w:sz w:val="24"/>
          <w:szCs w:val="24"/>
          <w:rtl w:val="0"/>
        </w:rPr>
        <w:t xml:space="preserve">by peer review? </w:t>
      </w:r>
      <w:r w:rsidDel="00000000" w:rsidR="00000000" w:rsidRPr="00000000">
        <w:rPr>
          <w:rtl w:val="0"/>
        </w:rPr>
      </w:r>
    </w:p>
    <w:p w:rsidR="00000000" w:rsidDel="00000000" w:rsidP="00000000" w:rsidRDefault="00000000" w:rsidRPr="00000000" w14:paraId="00000052">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How do you think peer review has changed the reading and writing practices of </w:t>
      </w:r>
      <w:r w:rsidDel="00000000" w:rsidR="00000000" w:rsidRPr="00000000">
        <w:rPr>
          <w:rFonts w:ascii="Times New Roman" w:cs="Times New Roman" w:eastAsia="Times New Roman" w:hAnsi="Times New Roman"/>
          <w:sz w:val="24"/>
          <w:szCs w:val="24"/>
          <w:rtl w:val="0"/>
        </w:rPr>
        <w:t xml:space="preserve">scientists</w:t>
      </w:r>
      <w:r w:rsidDel="00000000" w:rsidR="00000000" w:rsidRPr="00000000">
        <w:rPr>
          <w:rFonts w:ascii="Times New Roman" w:cs="Times New Roman" w:eastAsia="Times New Roman" w:hAnsi="Times New Roman"/>
          <w:sz w:val="24"/>
          <w:szCs w:val="24"/>
          <w:rtl w:val="0"/>
        </w:rPr>
        <w:t xml:space="preserve">, given that these practices are so crucial to scientific circulation?</w:t>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Part 2: </w:t>
      </w:r>
      <w:hyperlink r:id="rId7">
        <w:r w:rsidDel="00000000" w:rsidR="00000000" w:rsidRPr="00000000">
          <w:rPr>
            <w:rFonts w:ascii="Times New Roman" w:cs="Times New Roman" w:eastAsia="Times New Roman" w:hAnsi="Times New Roman"/>
            <w:b w:val="1"/>
            <w:bCs w:val="1"/>
            <w:color w:val="1155cc"/>
            <w:sz w:val="24"/>
            <w:szCs w:val="24"/>
            <w:u w:val="single"/>
            <w:rtl w:val="0"/>
          </w:rPr>
          <w:t xml:space="preserve">Greg Myers, "The Social Construction of Two Biologists' Proposals"</w:t>
        </w:r>
      </w:hyperlink>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Summary:</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Myers reads two grant proposals in order to show how the process shapes scientific practice, subjects, and disciplinarity by focusing primarily on rhetoric and incidentally on financial issues.</w:t>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Quotes:</w:t>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has been a great deal of study of the peer review procedures of these agencies, both by social scientists and by in-house committees (Cole et al., 1977; Cole and Cole, 1979; Cole, Cole, and Simon, 1981; Van den Beemt and Le Pair, 1983). Both the criticisms and the studies have focused on what happens in the funding after the proposals are submitted and have asked what role factors besides "quality of science" play in the decision to fund or not to fund a project; they ask, for instance, if there is an "old boy network," or if the panels tend to reject "high-risk" proposals (NIH, 1983). But the funding process starts before the panel even sees the proposal. I will argue that the writing of proposals, which takes up such a large proportion of the active researcher's time, is part of the consensus-building process essential to the development of scientific knowledge. To use the metaphor that the critic Kenward quotes, it brings the axe-murderers into the gang” (220).</w:t>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has a special problem if one sees one's work as new or falling between two specialized fields; one must either present a persona as an established member of one of the fields, or redraw the fields around the work. In either case, one places the potentially dissenting idea within a new context. The process of writing a proposal is largely a process of presenting-or creating-in a text one's role in the scientific community. Thus the texts of proposals may have something to tell us about how science changes and defines itself, as well as about how it is funded and how it is communicated.”</w:t>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proposal process also changes the field in a more fundamental way, by challenging the terms in which the subspecialty defines itself ( Callon, 1980). Both these researchers see themselves as working at the edge of a specialty or on the border between two subspecialties; Dr. Bloch talks about "the establishment" in molecular biology, and Dr. Crews refers to the "prevailing paradigm." When the study section gives a proposal like one of these a priority number below the pay line, they draw the line that marks the edge of their specialized field. When it approves such research, it redefines that line. To a large degree, both researchers accept the assumptions and criteria by which this decision is made; they disagree with the panel only about how these criteria apply to their own work. Because they are part of the system, we should ask not whether the system is "fair" to individuals, but how it serves the scientific discipline” (239).</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rhetoric of the proposal is not given by some ideal list of persuasive or communicative techniques, or by an ideal scientific persona, or by the characteristics of the project itself, but instead depends on a complex process involving both the researcher and the discipline, then it will vary with each discipline and with the writer's relation to the discipline. Thus the cautious tone adopted by Dr. Bloch, appropriate for his situation as a newcomer, would be disastrous for Dr. Crews, who is well established in his specialized field. They learn the rhetoric of their discipline in their training as graduate students and post-docs, but they relearn it every time they get the referees' reports on an article or the pink sheets on a proposal. Dr. Bloch learns where his data receive a good response; Dr. Crews finds how his assertions affect a researcher who works on mammals. Finally, they come to assume most of this knowledge of the discipline as something natural. But we need to make it explicit and conscious to open it to people outside the discipline” (240).</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Discussion Questions:</w:t>
      </w:r>
    </w:p>
    <w:p w:rsidR="00000000" w:rsidDel="00000000" w:rsidP="00000000" w:rsidRDefault="00000000" w:rsidRPr="00000000" w14:paraId="00000065">
      <w:pPr>
        <w:numPr>
          <w:ilvl w:val="0"/>
          <w:numId w:val="5"/>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does the grant writing proposal process shape the scientist’s own persona, </w:t>
      </w:r>
      <w:r w:rsidDel="00000000" w:rsidR="00000000" w:rsidRPr="00000000">
        <w:rPr>
          <w:rFonts w:ascii="Times New Roman" w:cs="Times New Roman" w:eastAsia="Times New Roman" w:hAnsi="Times New Roman"/>
          <w:sz w:val="24"/>
          <w:szCs w:val="24"/>
          <w:rtl w:val="0"/>
        </w:rPr>
        <w:t xml:space="preserve">especially</w:t>
      </w:r>
      <w:r w:rsidDel="00000000" w:rsidR="00000000" w:rsidRPr="00000000">
        <w:rPr>
          <w:rFonts w:ascii="Times New Roman" w:cs="Times New Roman" w:eastAsia="Times New Roman" w:hAnsi="Times New Roman"/>
          <w:sz w:val="24"/>
          <w:szCs w:val="24"/>
          <w:rtl w:val="0"/>
        </w:rPr>
        <w:t xml:space="preserve"> with regard to how they represent themselves and their own work across successive grant proposal drafts?</w:t>
      </w:r>
    </w:p>
    <w:p w:rsidR="00000000" w:rsidDel="00000000" w:rsidP="00000000" w:rsidRDefault="00000000" w:rsidRPr="00000000" w14:paraId="00000066">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What could alternate models of grant writing look like, or what would have to change in order to reorient the current model of grant funding?</w:t>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Part 3: Technical conferences as a technique of internationalism</w:t>
      </w:r>
    </w:p>
    <w:p w:rsidR="00000000" w:rsidDel="00000000" w:rsidP="00000000" w:rsidRDefault="00000000" w:rsidRPr="00000000" w14:paraId="00000069">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Quotes: </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Building on a tradition of scientists’ employment by local and national governments, and increasingly also in international organizations, technical conferences relied on two things: politicians’ recognition of ‘experts’ as carriers of specialist knowledge who could communicate with others via shared approaches, and experts’ willingness to identify supposedly scientific, technical problems as distinct from their political applications…After 1919, civil servants, political scientists, legal scholars and other experts thought about international conferences as a ‘technique’ – as consisting of certain repeatable rules and procedures, the enactment of which</w:t>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provided a means for strengthening, regularizing and codifying international cooperation.</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Writing in 1918, Gruber thought that nobody would be able to deny the far-reaching outcomes of internationalism by conference over the previous century; after all, conferences had given rise to the Universal Postal Union, the coordination of international telegraph and rail traffic, the protection of industrial and intellectual property and the Geneva and Hague Conventions, which continued to prevent the worst excesses of violence and brought ‘a certain moral sense and legal conscience’ to the table…[The] most significant flaw of the Concert of Europe had been its ‘absence of a system of regular Conference’ – an absence that was, ‘in large measure’, a cause of the First World War.</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League [of Nations’] new technical committees were quick to adopt this language: their work was one of ‘purely technical studies’, they explained in their reports; their task was to provide ‘the technical point of view’ of questions handed to them, without restriction by thorny problems of how their findings might be translated into practice…The right kind of conference choreography could strengthen even the most fractious conferences by providing structure, objectivity and the input of impartial experts. The reverse was also true: conferences had failed when ‘the “experts” chosen were of dubious quality’... Here, too, the subject matter of conferences was less important than their process.</w:t>
      </w:r>
    </w:p>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UNRRA was conceived as a ‘technical’ organization, populated with an army of scientific experts to tackle a variety of pressing problems requiring specialist knowledge: widespread malnutrition and starvation; the threat of epidemic diseases on the rampage; the devastation of farmland, industries and infrastructure; the repatriation of millions of displaced people. Planners argued that ‘relief’ and ‘rehabilitation’ were first and foremost technical, scientifically solvable problems best tackled by specialists removed from high politics. The more contentious question of longer-term ‘reconstruction’ was excluded from UNRRA’s brief.</w:t>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American welfare specialist Ellen Woodward had come to the conference with a specific agenda: to give greater visibility to the problem of ‘welfare’, broadly understood as ‘services for the personal rehabilitation of individuals requiring special help’, as opposed to economic and medical questions, which had dominated the relief agenda to date. Woodward’s understanding of welfare reflected that of ‘the highly trained United States social worker with a field of specialization in childcare, psychiatry, nutrition, or the like’. She came prepared with a list of welfare objectives to be incorporated into UNRRA’s mandate. Woodward found the conference itself rather exhausting, and was dismayed to find that not all technical subjects were considered equal. Technical standing committees were established on agriculture, health and industrial recovery, but none for welfare. She drafted a statement on what such a committee would look like and the contributions it would make, but didn’t have the support within her own delegation…As she complained to Eleanor Roosevelt, ‘Men who do not know anything about social welfare seem to think that all that needs to be done is to buy supplies and see that they</w:t>
      </w:r>
    </w:p>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shipped – that somehow or other everything else will “just happen”...But the whole episode demonstrated to her and others that there was a hierarchy of technical expertise and experts, and the very definition of ‘technical questions’ was often highly political.</w:t>
      </w:r>
    </w:p>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conferences tended to generate written records (minutes, reports, motions passed) that were distributed to participants and filed away. Second, these records usually began with the identification of the aim, object and terms of reference and a clear delineation of what would be outside the conference’s scope. They were accompanied by references to objectivity and facts, often written in passive and impersonal language. Third, they usually involved other, less formal meetings alongside the recorded proceedings – meals, drinks, celebrations, town visits. These were important for developing personal connections, though at times it was stated explicitly that the formality of the main event was precious: there was a perceived safety in conferences as regulated forms of exchange, much safer than unplanned ‘personal encounters’. Finally, the outcome was invariably a date of the next meeting or future production of a memorandum, and the release of the conference minutes and reports.</w:t>
      </w:r>
    </w:p>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UNRRA files, participants often referred to their work as ‘technical’ or ‘specialist’; sometimes they described it as ‘scientific’. In this emphasis on experts as holders of specialist knowledge, science appeared as the fabled antidote to political limitations and obstacles. It was the voice of reason, common sense, clarity of thought and progress that could cut through any political morass. This was not so much about any particular, actual science, but about science and expertise as a powerful rhetorical device… Calling a meeting a ‘conference’ was an explicit choice, and served to advertise the meetings’ assumptions (dealing with solvable problems), methods (systematic, technically informed, non-ideological) and outcomes. Even as international organizations and political systems became discredited by war, economic depression or collapse, conferences as a process or technique did not. This had been the case in 1919, and was true again in 1945. Each crisis was evidence not so much of the failure of the conference technique as, rather, that it was needed more than ever.</w:t>
      </w:r>
    </w:p>
    <w:p w:rsidR="00000000" w:rsidDel="00000000" w:rsidP="00000000" w:rsidRDefault="00000000" w:rsidRPr="00000000" w14:paraId="00000078">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9">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term “conference” was used to identify particular details about a subject </w:t>
      </w:r>
      <w:r w:rsidDel="00000000" w:rsidR="00000000" w:rsidRPr="00000000">
        <w:rPr>
          <w:rFonts w:ascii="Times New Roman" w:cs="Times New Roman" w:eastAsia="Times New Roman" w:hAnsi="Times New Roman"/>
          <w:sz w:val="24"/>
          <w:szCs w:val="24"/>
          <w:rtl w:val="0"/>
        </w:rPr>
        <w:t xml:space="preserve">including</w:t>
      </w:r>
      <w:r w:rsidDel="00000000" w:rsidR="00000000" w:rsidRPr="00000000">
        <w:rPr>
          <w:rFonts w:ascii="Times New Roman" w:cs="Times New Roman" w:eastAsia="Times New Roman" w:hAnsi="Times New Roman"/>
          <w:sz w:val="24"/>
          <w:szCs w:val="24"/>
          <w:rtl w:val="0"/>
        </w:rPr>
        <w:t xml:space="preserve"> specific conditions of how meetings occurred, such as the production of new documents, how does the circulation of knowledge differ from its production?</w:t>
      </w:r>
    </w:p>
    <w:p w:rsidR="00000000" w:rsidDel="00000000" w:rsidP="00000000" w:rsidRDefault="00000000" w:rsidRPr="00000000" w14:paraId="0000007A">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conferences the point in the labor process where they may ‘respond collectively from the vantage point of a political and economic analysis of their work’? Or is their format and preference for solvable concerns a hindrance to this action?</w:t>
      </w:r>
    </w:p>
    <w:p w:rsidR="00000000" w:rsidDel="00000000" w:rsidP="00000000" w:rsidRDefault="00000000" w:rsidRPr="00000000" w14:paraId="0000007B">
      <w:pPr>
        <w:numPr>
          <w:ilvl w:val="0"/>
          <w:numId w:val="4"/>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4"/>
          <w:szCs w:val="24"/>
          <w:rtl w:val="0"/>
        </w:rPr>
        <w:t xml:space="preserve">How do formalized methods for circulation of knowledge limit what narratives and classes of people are able to participate in?</w:t>
      </w:r>
    </w:p>
    <w:p w:rsidR="00000000" w:rsidDel="00000000" w:rsidP="00000000" w:rsidRDefault="00000000" w:rsidRPr="00000000" w14:paraId="0000007C">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modern era, how does this history of internationalism in conferences play out? Are scientists from all states receiving equal participation or the semblance of equal participation?</w:t>
      </w:r>
      <w:r w:rsidDel="00000000" w:rsidR="00000000" w:rsidRPr="00000000">
        <w:rPr>
          <w:rFonts w:ascii="Times New Roman" w:cs="Times New Roman" w:eastAsia="Times New Roman" w:hAnsi="Times New Roman"/>
          <w:sz w:val="24"/>
          <w:szCs w:val="24"/>
          <w:rtl w:val="0"/>
        </w:rPr>
        <w:t xml:space="preserve"> How do</w:t>
      </w:r>
      <w:r w:rsidDel="00000000" w:rsidR="00000000" w:rsidRPr="00000000">
        <w:rPr>
          <w:rFonts w:ascii="Times New Roman" w:cs="Times New Roman" w:eastAsia="Times New Roman" w:hAnsi="Times New Roman"/>
          <w:sz w:val="24"/>
          <w:szCs w:val="24"/>
          <w:rtl w:val="0"/>
        </w:rPr>
        <w:t xml:space="preserve"> poorer nations fit in? </w:t>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file/d/1OLjUJzNObqvj5znx38ovzrxr5GUw-S92/view?usp=sharing" TargetMode="External"/><Relationship Id="rId7" Type="http://schemas.openxmlformats.org/officeDocument/2006/relationships/hyperlink" Target="https://drive.google.com/open?id=1H4E_BXqhrJYfliO-nlUV1yx6lq3wmv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